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both"/>
        <w:rPr>
          <w:rFonts w:hint="default" w:eastAsia="宋体" w:cs="Arial"/>
          <w:b/>
          <w:color w:val="000000"/>
          <w:sz w:val="28"/>
          <w:szCs w:val="28"/>
          <w:lang w:val="en-US" w:eastAsia="zh-CN"/>
        </w:rPr>
      </w:pPr>
      <w:r>
        <w:rPr>
          <w:rFonts w:cs="Arial"/>
          <w:b/>
          <w:color w:val="000000"/>
          <w:sz w:val="28"/>
          <w:szCs w:val="28"/>
        </w:rPr>
        <w:t>3GPP TSG-RAN WG1 Meeting #114</w:t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>bis</w:t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ab/>
      </w:r>
      <w:r>
        <w:rPr>
          <w:rFonts w:cs="Arial"/>
          <w:b/>
          <w:color w:val="000000"/>
          <w:sz w:val="28"/>
          <w:szCs w:val="28"/>
        </w:rPr>
        <w:t>R1-23</w:t>
      </w:r>
      <w:r>
        <w:rPr>
          <w:rFonts w:hint="eastAsia" w:eastAsia="宋体" w:cs="Arial"/>
          <w:b/>
          <w:color w:val="000000"/>
          <w:sz w:val="28"/>
          <w:szCs w:val="28"/>
          <w:lang w:val="en-US" w:eastAsia="zh-CN"/>
        </w:rPr>
        <w:t>09251</w:t>
      </w:r>
    </w:p>
    <w:p>
      <w:pPr>
        <w:snapToGrid w:val="0"/>
        <w:rPr>
          <w:rFonts w:ascii="Times New Roman" w:hAnsi="Times New Roman" w:cs="Arial"/>
          <w:b/>
          <w:color w:val="000000"/>
          <w:sz w:val="28"/>
          <w:szCs w:val="28"/>
          <w:lang w:eastAsia="ja-JP"/>
        </w:rPr>
      </w:pPr>
      <w:r>
        <w:rPr>
          <w:rFonts w:hint="eastAsia" w:ascii="Times New Roman" w:hAnsi="Times New Roman" w:cs="Arial"/>
          <w:b/>
          <w:color w:val="000000"/>
          <w:sz w:val="28"/>
          <w:szCs w:val="28"/>
          <w:lang w:val="en-US" w:eastAsia="zh-CN"/>
        </w:rPr>
        <w:t>Xiamen，China</w:t>
      </w:r>
      <w:r>
        <w:rPr>
          <w:rFonts w:ascii="Times New Roman" w:hAnsi="Times New Roman" w:cs="Arial"/>
          <w:b/>
          <w:color w:val="000000"/>
          <w:sz w:val="28"/>
          <w:szCs w:val="28"/>
          <w:lang w:eastAsia="ja-JP"/>
        </w:rPr>
        <w:t xml:space="preserve">,  </w:t>
      </w:r>
      <w:r>
        <w:rPr>
          <w:rFonts w:hint="eastAsia" w:ascii="Times New Roman" w:hAnsi="Times New Roman" w:cs="Arial"/>
          <w:b/>
          <w:color w:val="000000"/>
          <w:sz w:val="28"/>
          <w:szCs w:val="28"/>
          <w:lang w:val="en-US" w:eastAsia="zh-CN"/>
        </w:rPr>
        <w:t>October</w:t>
      </w:r>
      <w:r>
        <w:rPr>
          <w:rFonts w:hint="eastAsia" w:ascii="Times New Roman" w:hAnsi="Times New Roman" w:cs="Arial"/>
          <w:b/>
          <w:color w:val="000000"/>
          <w:sz w:val="28"/>
          <w:szCs w:val="28"/>
          <w:vertAlign w:val="superscript"/>
          <w:lang w:val="en-US" w:eastAsia="zh-CN"/>
        </w:rPr>
        <w:t xml:space="preserve"> </w:t>
      </w:r>
      <w:r>
        <w:rPr>
          <w:rFonts w:hint="eastAsia" w:cs="Arial"/>
          <w:b/>
          <w:color w:val="000000"/>
          <w:sz w:val="28"/>
          <w:szCs w:val="28"/>
          <w:vertAlign w:val="superscript"/>
          <w:lang w:val="en-US" w:eastAsia="zh-CN"/>
        </w:rPr>
        <w:t>9</w:t>
      </w:r>
      <w:r>
        <w:rPr>
          <w:rFonts w:hint="eastAsia" w:ascii="Times New Roman" w:hAnsi="Times New Roman" w:cs="Arial"/>
          <w:b/>
          <w:color w:val="000000"/>
          <w:sz w:val="28"/>
          <w:szCs w:val="28"/>
          <w:vertAlign w:val="superscript"/>
          <w:lang w:val="en-US" w:eastAsia="zh-CN"/>
        </w:rPr>
        <w:t>th</w:t>
      </w:r>
      <w:r>
        <w:rPr>
          <w:rFonts w:ascii="Times New Roman" w:hAnsi="Times New Roman" w:cs="Arial"/>
          <w:b/>
          <w:color w:val="000000"/>
          <w:sz w:val="28"/>
          <w:szCs w:val="28"/>
          <w:lang w:eastAsia="ja-JP"/>
        </w:rPr>
        <w:t xml:space="preserve"> – </w:t>
      </w:r>
      <w:r>
        <w:rPr>
          <w:rFonts w:hint="eastAsia" w:ascii="Times New Roman" w:hAnsi="Times New Roman" w:cs="Arial"/>
          <w:b/>
          <w:color w:val="000000"/>
          <w:sz w:val="28"/>
          <w:szCs w:val="28"/>
          <w:lang w:val="en-US" w:eastAsia="zh-CN"/>
        </w:rPr>
        <w:t>October</w:t>
      </w:r>
      <w:bookmarkStart w:id="3" w:name="_GoBack"/>
      <w:r>
        <w:rPr>
          <w:rFonts w:hint="eastAsia" w:ascii="Times New Roman" w:hAnsi="Times New Roman" w:cs="Arial"/>
          <w:b/>
          <w:color w:val="000000"/>
          <w:sz w:val="28"/>
          <w:szCs w:val="28"/>
          <w:vertAlign w:val="superscript"/>
          <w:lang w:val="en-US" w:eastAsia="zh-CN"/>
        </w:rPr>
        <w:t xml:space="preserve"> 1</w:t>
      </w:r>
      <w:r>
        <w:rPr>
          <w:rFonts w:hint="eastAsia" w:cs="Arial"/>
          <w:b/>
          <w:color w:val="000000"/>
          <w:sz w:val="28"/>
          <w:szCs w:val="28"/>
          <w:vertAlign w:val="superscript"/>
          <w:lang w:val="en-US" w:eastAsia="zh-CN"/>
        </w:rPr>
        <w:t>3</w:t>
      </w:r>
      <w:r>
        <w:rPr>
          <w:rFonts w:hint="eastAsia" w:ascii="Times New Roman" w:hAnsi="Times New Roman" w:cs="Arial"/>
          <w:b/>
          <w:color w:val="000000"/>
          <w:sz w:val="28"/>
          <w:szCs w:val="28"/>
          <w:vertAlign w:val="superscript"/>
          <w:lang w:val="en-US" w:eastAsia="zh-CN"/>
        </w:rPr>
        <w:t>th</w:t>
      </w:r>
      <w:bookmarkEnd w:id="3"/>
      <w:r>
        <w:rPr>
          <w:rFonts w:ascii="Times New Roman" w:hAnsi="Times New Roman" w:cs="Arial"/>
          <w:b/>
          <w:color w:val="000000"/>
          <w:sz w:val="28"/>
          <w:szCs w:val="28"/>
          <w:lang w:eastAsia="ja-JP"/>
        </w:rPr>
        <w:t>, 2023</w:t>
      </w:r>
    </w:p>
    <w:p>
      <w:pPr>
        <w:pBdr>
          <w:top w:val="single" w:color="auto" w:sz="4" w:space="1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16"/>
          <w:szCs w:val="16"/>
          <w:lang w:eastAsia="zh-CN"/>
        </w:rPr>
      </w:pPr>
    </w:p>
    <w:p>
      <w:pPr>
        <w:autoSpaceDE w:val="0"/>
        <w:autoSpaceDN w:val="0"/>
        <w:adjustRightInd w:val="0"/>
        <w:snapToGrid w:val="0"/>
        <w:spacing w:after="60"/>
        <w:ind w:left="1555" w:hanging="1555"/>
        <w:rPr>
          <w:rFonts w:hint="default" w:eastAsia="宋体"/>
          <w:b/>
          <w:kern w:val="2"/>
          <w:sz w:val="22"/>
          <w:szCs w:val="22"/>
          <w:lang w:val="en-US" w:eastAsia="zh-CN"/>
        </w:rPr>
      </w:pPr>
      <w:r>
        <w:rPr>
          <w:rFonts w:eastAsia="宋体"/>
          <w:b/>
          <w:kern w:val="2"/>
          <w:sz w:val="22"/>
          <w:szCs w:val="22"/>
          <w:lang w:val="en-US" w:eastAsia="zh-CN"/>
        </w:rPr>
        <w:t>Agenda Item:</w:t>
      </w:r>
      <w:r>
        <w:rPr>
          <w:rFonts w:eastAsia="宋体"/>
          <w:b/>
          <w:kern w:val="2"/>
          <w:sz w:val="22"/>
          <w:szCs w:val="22"/>
          <w:lang w:val="en-US" w:eastAsia="zh-CN"/>
        </w:rPr>
        <w:tab/>
      </w:r>
      <w:r>
        <w:rPr>
          <w:rFonts w:hint="eastAsia" w:eastAsia="宋体"/>
          <w:b/>
          <w:kern w:val="2"/>
          <w:sz w:val="22"/>
          <w:szCs w:val="22"/>
          <w:lang w:val="en-US" w:eastAsia="zh-CN"/>
        </w:rPr>
        <w:t>8</w:t>
      </w:r>
      <w:r>
        <w:rPr>
          <w:rFonts w:eastAsia="宋体"/>
          <w:b/>
          <w:kern w:val="2"/>
          <w:sz w:val="22"/>
          <w:szCs w:val="22"/>
          <w:lang w:val="en-US" w:eastAsia="zh-CN"/>
        </w:rPr>
        <w:t>.16.</w:t>
      </w:r>
      <w:r>
        <w:rPr>
          <w:rFonts w:hint="eastAsia" w:eastAsia="宋体"/>
          <w:b/>
          <w:kern w:val="2"/>
          <w:sz w:val="22"/>
          <w:szCs w:val="22"/>
          <w:lang w:val="en-US" w:eastAsia="zh-CN"/>
        </w:rPr>
        <w:t>14</w:t>
      </w:r>
    </w:p>
    <w:p>
      <w:pPr>
        <w:autoSpaceDE w:val="0"/>
        <w:autoSpaceDN w:val="0"/>
        <w:adjustRightInd w:val="0"/>
        <w:snapToGrid w:val="0"/>
        <w:spacing w:after="60"/>
        <w:ind w:left="1555" w:hanging="1555"/>
        <w:rPr>
          <w:rFonts w:hint="default" w:eastAsia="宋体"/>
          <w:b/>
          <w:kern w:val="2"/>
          <w:sz w:val="22"/>
          <w:szCs w:val="22"/>
          <w:lang w:val="en-US" w:eastAsia="zh-CN"/>
        </w:rPr>
      </w:pPr>
      <w:r>
        <w:rPr>
          <w:rFonts w:eastAsia="宋体"/>
          <w:b/>
          <w:kern w:val="2"/>
          <w:sz w:val="22"/>
          <w:szCs w:val="22"/>
          <w:lang w:val="en-US" w:eastAsia="zh-CN"/>
        </w:rPr>
        <w:t>Source:</w:t>
      </w:r>
      <w:r>
        <w:rPr>
          <w:rFonts w:eastAsia="宋体"/>
          <w:b/>
          <w:kern w:val="2"/>
          <w:sz w:val="22"/>
          <w:szCs w:val="22"/>
          <w:lang w:val="en-US" w:eastAsia="zh-CN"/>
        </w:rPr>
        <w:tab/>
      </w:r>
      <w:r>
        <w:rPr>
          <w:rFonts w:hint="eastAsia" w:eastAsia="宋体"/>
          <w:b/>
          <w:kern w:val="2"/>
          <w:sz w:val="22"/>
          <w:szCs w:val="22"/>
          <w:lang w:val="en-US" w:eastAsia="zh-CN"/>
        </w:rPr>
        <w:t>Baicells</w:t>
      </w:r>
    </w:p>
    <w:p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>
        <w:rPr>
          <w:rFonts w:eastAsia="宋体"/>
          <w:b/>
          <w:kern w:val="2"/>
          <w:sz w:val="22"/>
          <w:szCs w:val="22"/>
          <w:lang w:val="en-US" w:eastAsia="zh-CN"/>
        </w:rPr>
        <w:t>Title:</w:t>
      </w:r>
      <w:r>
        <w:rPr>
          <w:rFonts w:eastAsia="宋体"/>
          <w:b/>
          <w:kern w:val="2"/>
          <w:sz w:val="22"/>
          <w:szCs w:val="22"/>
          <w:lang w:val="en-US" w:eastAsia="zh-CN"/>
        </w:rPr>
        <w:tab/>
      </w:r>
      <w:r>
        <w:rPr>
          <w:rFonts w:eastAsia="宋体"/>
          <w:b/>
          <w:kern w:val="2"/>
          <w:sz w:val="22"/>
          <w:szCs w:val="22"/>
          <w:lang w:val="en-US" w:eastAsia="zh-CN"/>
        </w:rPr>
        <w:t>UE features for NR NTN enhancements</w:t>
      </w:r>
    </w:p>
    <w:p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>
        <w:rPr>
          <w:rFonts w:eastAsia="宋体"/>
          <w:b/>
          <w:kern w:val="2"/>
          <w:sz w:val="22"/>
          <w:szCs w:val="22"/>
          <w:lang w:val="en-US" w:eastAsia="zh-CN"/>
        </w:rPr>
        <w:t>Document for:</w:t>
      </w:r>
      <w:r>
        <w:rPr>
          <w:rFonts w:eastAsia="宋体"/>
          <w:b/>
          <w:kern w:val="2"/>
          <w:sz w:val="22"/>
          <w:szCs w:val="22"/>
          <w:lang w:val="en-US" w:eastAsia="zh-CN"/>
        </w:rPr>
        <w:tab/>
      </w:r>
      <w:r>
        <w:rPr>
          <w:rFonts w:eastAsia="宋体"/>
          <w:b/>
          <w:kern w:val="2"/>
          <w:sz w:val="22"/>
          <w:szCs w:val="22"/>
          <w:lang w:val="en-US" w:eastAsia="zh-CN"/>
        </w:rPr>
        <w:t xml:space="preserve">Discussion and Decision </w:t>
      </w:r>
    </w:p>
    <w:p>
      <w:pPr>
        <w:pBdr>
          <w:bottom w:val="single" w:color="auto" w:sz="4" w:space="1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16"/>
          <w:szCs w:val="16"/>
          <w:lang w:val="en-US" w:eastAsia="zh-CN"/>
        </w:rPr>
      </w:pPr>
    </w:p>
    <w:p>
      <w:pPr>
        <w:pStyle w:val="2"/>
        <w:bidi w:val="0"/>
        <w:rPr>
          <w:lang w:eastAsia="zh-CN"/>
        </w:rPr>
      </w:pP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Introduction</w:t>
      </w:r>
    </w:p>
    <w:p>
      <w:pPr>
        <w:spacing w:line="276" w:lineRule="auto"/>
        <w:ind w:right="6"/>
        <w:jc w:val="both"/>
        <w:rPr>
          <w:sz w:val="22"/>
          <w:szCs w:val="22"/>
        </w:rPr>
      </w:pPr>
      <w:r>
        <w:rPr>
          <w:sz w:val="22"/>
          <w:szCs w:val="22"/>
        </w:rPr>
        <w:t>In RAN1#</w:t>
      </w:r>
      <w:r>
        <w:rPr>
          <w:rFonts w:eastAsia="Malgun Gothic"/>
          <w:sz w:val="22"/>
          <w:szCs w:val="22"/>
          <w:lang w:val="en-US" w:eastAsia="en-US"/>
        </w:rPr>
        <w:t>11</w:t>
      </w:r>
      <w:r>
        <w:rPr>
          <w:rFonts w:hint="eastAsia" w:eastAsia="宋体"/>
          <w:sz w:val="22"/>
          <w:szCs w:val="22"/>
          <w:lang w:val="en-US" w:eastAsia="zh-CN"/>
        </w:rPr>
        <w:t>4</w:t>
      </w:r>
      <w:r>
        <w:rPr>
          <w:rFonts w:eastAsia="Malgun Gothic"/>
          <w:sz w:val="22"/>
          <w:szCs w:val="22"/>
          <w:lang w:val="en-US" w:eastAsia="en-US"/>
        </w:rPr>
        <w:t xml:space="preserve"> meeting, UE features for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Malgun Gothic"/>
          <w:sz w:val="22"/>
          <w:szCs w:val="22"/>
          <w:lang w:val="en-US" w:eastAsia="en-US"/>
        </w:rPr>
        <w:t xml:space="preserve">Rel-18 NR NTN </w:t>
      </w:r>
      <w:r>
        <w:rPr>
          <w:rFonts w:hint="eastAsia" w:eastAsia="宋体"/>
          <w:sz w:val="22"/>
          <w:szCs w:val="22"/>
          <w:lang w:val="en-US" w:eastAsia="zh-CN"/>
        </w:rPr>
        <w:t xml:space="preserve">enhancement </w:t>
      </w:r>
      <w:r>
        <w:rPr>
          <w:sz w:val="22"/>
          <w:szCs w:val="22"/>
        </w:rPr>
        <w:t xml:space="preserve">were </w:t>
      </w:r>
      <w:r>
        <w:rPr>
          <w:rFonts w:hint="eastAsia" w:eastAsia="宋体"/>
          <w:sz w:val="22"/>
          <w:szCs w:val="22"/>
          <w:lang w:val="en-US" w:eastAsia="zh-CN"/>
        </w:rPr>
        <w:t xml:space="preserve">discussed.  </w:t>
      </w: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>n this contribution, we address the remaining aspects.</w:t>
      </w:r>
    </w:p>
    <w:p>
      <w:pPr>
        <w:pStyle w:val="4"/>
        <w:rPr>
          <w:sz w:val="22"/>
          <w:szCs w:val="22"/>
        </w:rPr>
      </w:pPr>
    </w:p>
    <w:p>
      <w:pPr>
        <w:pStyle w:val="4"/>
        <w:rPr>
          <w:sz w:val="22"/>
          <w:szCs w:val="22"/>
        </w:rPr>
      </w:pPr>
    </w:p>
    <w:p>
      <w:pPr>
        <w:pStyle w:val="4"/>
        <w:rPr>
          <w:sz w:val="22"/>
          <w:szCs w:val="22"/>
        </w:rPr>
      </w:pPr>
    </w:p>
    <w:p>
      <w:pPr>
        <w:pStyle w:val="2"/>
        <w:bidi w:val="0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Discussion </w:t>
      </w:r>
    </w:p>
    <w:p>
      <w:pPr>
        <w:pStyle w:val="9"/>
        <w:keepNext/>
        <w:numPr>
          <w:ilvl w:val="0"/>
          <w:numId w:val="3"/>
        </w:numPr>
        <w:pBdr>
          <w:bottom w:val="single" w:color="auto" w:sz="4" w:space="1"/>
        </w:pBdr>
        <w:spacing w:before="240" w:after="60"/>
        <w:ind w:leftChars="0"/>
        <w:jc w:val="both"/>
        <w:outlineLvl w:val="0"/>
        <w:rPr>
          <w:rFonts w:ascii="Arial" w:hAnsi="Arial"/>
          <w:vanish/>
          <w:color w:val="000000"/>
          <w:kern w:val="28"/>
          <w:sz w:val="28"/>
        </w:rPr>
      </w:pPr>
    </w:p>
    <w:p>
      <w:pPr>
        <w:pStyle w:val="3"/>
        <w:bidi w:val="0"/>
      </w:pPr>
      <w:r>
        <w:t xml:space="preserve">FG 44-1 </w:t>
      </w: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In RAN1#</w:t>
      </w:r>
      <w:r>
        <w:rPr>
          <w:rFonts w:eastAsia="Malgun Gothic"/>
          <w:sz w:val="22"/>
          <w:szCs w:val="22"/>
          <w:lang w:val="en-US" w:eastAsia="en-US"/>
        </w:rPr>
        <w:t>11</w:t>
      </w:r>
      <w:r>
        <w:rPr>
          <w:rFonts w:hint="eastAsia" w:eastAsia="宋体"/>
          <w:sz w:val="22"/>
          <w:szCs w:val="22"/>
          <w:lang w:val="en-US" w:eastAsia="zh-CN"/>
        </w:rPr>
        <w:t>4</w:t>
      </w:r>
      <w:r>
        <w:rPr>
          <w:rFonts w:eastAsia="Malgun Gothic"/>
          <w:sz w:val="22"/>
          <w:szCs w:val="22"/>
          <w:lang w:val="en-US" w:eastAsia="en-US"/>
        </w:rPr>
        <w:t xml:space="preserve"> meeting, </w:t>
      </w:r>
      <w:r>
        <w:rPr>
          <w:rFonts w:hint="eastAsia" w:eastAsia="宋体"/>
          <w:sz w:val="22"/>
          <w:szCs w:val="22"/>
          <w:lang w:val="en-US" w:eastAsia="zh-CN"/>
        </w:rPr>
        <w:t>FG 44-1 is agreed as captured below. [1]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Style w:val="8"/>
        <w:tblW w:w="22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17"/>
        <w:gridCol w:w="2104"/>
        <w:gridCol w:w="4514"/>
        <w:gridCol w:w="594"/>
        <w:gridCol w:w="561"/>
        <w:gridCol w:w="472"/>
        <w:gridCol w:w="2735"/>
        <w:gridCol w:w="807"/>
        <w:gridCol w:w="550"/>
        <w:gridCol w:w="550"/>
        <w:gridCol w:w="550"/>
        <w:gridCol w:w="5133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44. NR_NTN_enh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MS Mincho"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44-1</w:t>
            </w:r>
          </w:p>
        </w:tc>
        <w:tc>
          <w:tcPr>
            <w:tcW w:w="2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宋体"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PUCCH repetition for Msg4 HARQ-ACK</w:t>
            </w:r>
          </w:p>
        </w:tc>
        <w:tc>
          <w:tcPr>
            <w:tcW w:w="4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1. Support repetition transmission of PUCCH for Msg4 HARQ-ACK on common PUCCH resource </w:t>
            </w:r>
          </w:p>
          <w:p>
            <w:pPr>
              <w:pStyle w:val="10"/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2. Support receiving repetition factor in system information</w:t>
            </w:r>
          </w:p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trike/>
                <w:color w:val="FF0000"/>
                <w:sz w:val="20"/>
                <w:lang w:val="en-US"/>
              </w:rPr>
              <w:t>[</w:t>
            </w:r>
            <w:r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3. Support receiving repetition factor in DCI scheduling Msg4 PDSCH</w:t>
            </w:r>
            <w:r>
              <w:rPr>
                <w:rFonts w:cs="Arial"/>
                <w:strike/>
                <w:color w:val="FF0000"/>
                <w:sz w:val="20"/>
                <w:lang w:val="en-US"/>
              </w:rPr>
              <w:t>]</w:t>
            </w:r>
          </w:p>
          <w:p>
            <w:pPr>
              <w:pStyle w:val="10"/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trike/>
                <w:color w:val="FF0000"/>
                <w:sz w:val="20"/>
                <w:lang w:val="en-US"/>
              </w:rPr>
              <w:t>[</w:t>
            </w:r>
            <w:r>
              <w:rPr>
                <w:rFonts w:cs="Arial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4. Support Msg3 to transmit information for PUCCH Msg4 HARQ-ACK repetition</w:t>
            </w:r>
            <w:r>
              <w:rPr>
                <w:rFonts w:cs="Arial"/>
                <w:strike/>
                <w:color w:val="FF0000"/>
                <w:sz w:val="20"/>
                <w:lang w:val="en-US"/>
              </w:rPr>
              <w:t>]</w:t>
            </w:r>
          </w:p>
          <w:p>
            <w:pPr>
              <w:jc w:val="left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[5. Extension of the repetition transmission of PUCCH before dedicated PUCCH resource configuration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>
            <w:pPr>
              <w:jc w:val="left"/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FF0000"/>
              </w:rPr>
              <w:t>6. Support of RSRP threshold for Msg4 HARQ-ACK repetition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MS Mincho" w:cs="Arial"/>
                <w:color w:val="FF0000"/>
                <w:sz w:val="20"/>
              </w:rPr>
            </w:pPr>
            <w:r>
              <w:rPr>
                <w:rFonts w:eastAsia="MS Mincho" w:cs="Arial"/>
                <w:color w:val="FF0000"/>
                <w:sz w:val="20"/>
                <w:highlight w:val="yellow"/>
              </w:rPr>
              <w:t>FFS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宋体"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宋体" w:cs="Arial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UE does not support PUCCH repetition for Msg4 HARQ-ACK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eastAsia="宋体"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Per Band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5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"/>
              <w:spacing w:line="240" w:lineRule="auto"/>
              <w:ind w:firstLine="0" w:firstLineChars="0"/>
              <w:jc w:val="left"/>
              <w:rPr>
                <w:rFonts w:ascii="Arial" w:hAnsi="Arial" w:cs="Arial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 UE that includes </w:t>
            </w:r>
            <w:r>
              <w:rPr>
                <w:rFonts w:ascii="Arial" w:hAnsi="Arial" w:cs="Arial" w:eastAsia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[RAN2 parameter name]</w:t>
            </w:r>
            <w:r>
              <w:rPr>
                <w:rFonts w:ascii="Arial" w:hAnsi="Arial" w:cs="Arial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rFonts w:ascii="Arial" w:hAnsi="Arial" w:cs="Arial" w:eastAsiaTheme="minor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[RRC Setup Request]</w:t>
            </w:r>
            <w:r>
              <w:rPr>
                <w:rFonts w:ascii="Arial" w:hAnsi="Arial" w:cs="Arial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must support FG 44-1</w:t>
            </w:r>
          </w:p>
          <w:p>
            <w:pPr>
              <w:pStyle w:val="11"/>
              <w:spacing w:line="240" w:lineRule="auto"/>
              <w:ind w:firstLine="0" w:firstLineChars="0"/>
              <w:jc w:val="left"/>
              <w:rPr>
                <w:rFonts w:ascii="Arial" w:hAnsi="Arial" w:cs="Arial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highlight w:val="yellow"/>
                <w14:textFill>
                  <w14:solidFill>
                    <w14:schemeClr w14:val="tx1"/>
                  </w14:solidFill>
                </w14:textFill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Optional without capability signaling</w:t>
            </w:r>
          </w:p>
        </w:tc>
      </w:tr>
    </w:tbl>
    <w:p>
      <w:pPr>
        <w:rPr>
          <w:lang w:eastAsia="zh-CN"/>
        </w:rPr>
      </w:pP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In RAN#</w:t>
      </w:r>
      <w:r>
        <w:rPr>
          <w:rFonts w:eastAsia="Malgun Gothic"/>
          <w:sz w:val="22"/>
          <w:szCs w:val="22"/>
          <w:lang w:val="en-US" w:eastAsia="en-US"/>
        </w:rPr>
        <w:t>1</w:t>
      </w:r>
      <w:r>
        <w:rPr>
          <w:rFonts w:hint="eastAsia" w:eastAsia="宋体"/>
          <w:sz w:val="22"/>
          <w:szCs w:val="22"/>
          <w:lang w:val="en-US" w:eastAsia="zh-CN"/>
        </w:rPr>
        <w:t xml:space="preserve">01 </w:t>
      </w:r>
      <w:r>
        <w:rPr>
          <w:rFonts w:eastAsia="Malgun Gothic"/>
          <w:sz w:val="22"/>
          <w:szCs w:val="22"/>
          <w:lang w:val="en-US" w:eastAsia="en-US"/>
        </w:rPr>
        <w:t>meeting,</w:t>
      </w:r>
      <w:r>
        <w:rPr>
          <w:rFonts w:hint="eastAsia" w:eastAsia="宋体"/>
          <w:sz w:val="22"/>
          <w:szCs w:val="22"/>
          <w:lang w:val="en-US" w:eastAsia="zh-CN"/>
        </w:rPr>
        <w:t xml:space="preserve"> it was endorsed that: [2]</w:t>
      </w: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eastAsia" w:eastAsia="Malgun Gothic"/>
          <w:sz w:val="22"/>
          <w:szCs w:val="22"/>
          <w:lang w:val="en-US" w:eastAsia="en-US"/>
        </w:rPr>
      </w:pPr>
      <w:r>
        <w:rPr>
          <w:rFonts w:hint="eastAsia" w:eastAsia="Malgun Gothic"/>
          <w:sz w:val="22"/>
          <w:szCs w:val="22"/>
          <w:lang w:val="en-US" w:eastAsia="en-US"/>
        </w:rPr>
        <w:t>PUCCH repetition discussed in Rel-18 NR NTN coverage enhancement is supported for the PUCCH transmissions when dedicated PUCCH resource configuration is not provided</w:t>
      </w: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Malgun Gothic"/>
          <w:sz w:val="22"/>
          <w:szCs w:val="22"/>
          <w:lang w:val="en-US" w:eastAsia="en-US"/>
        </w:rPr>
        <w:t>No additional RAN1 work to support this behavior is assumed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default" w:ascii="Times New Roman" w:hAnsi="Times New Roman" w:eastAsia="Malgun Gothic" w:cs="Times New Roman"/>
          <w:sz w:val="22"/>
          <w:szCs w:val="22"/>
          <w:lang w:val="en-US" w:eastAsia="zh-CN"/>
        </w:rPr>
      </w:pP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rFonts w:hint="eastAsia" w:ascii="Times New Roman" w:hAnsi="Times New Roman" w:eastAsia="Malgun Gothic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eastAsia="Malgun Gothic" w:cs="Times New Roman"/>
          <w:sz w:val="22"/>
          <w:szCs w:val="22"/>
          <w:lang w:val="en-US" w:eastAsia="zh-CN"/>
        </w:rPr>
        <w:t>Therefore, in our view, FG 44-1 can be used to indicate the support of PUCCH repetition for Msg4 HAR</w:t>
      </w:r>
      <w:r>
        <w:rPr>
          <w:rFonts w:hint="eastAsia" w:eastAsia="Malgun Gothic" w:cs="Times New Roman"/>
          <w:sz w:val="22"/>
          <w:szCs w:val="22"/>
          <w:lang w:val="en-US" w:eastAsia="zh-CN"/>
        </w:rPr>
        <w:t>Q</w:t>
      </w:r>
      <w:r>
        <w:rPr>
          <w:rFonts w:hint="eastAsia" w:ascii="Times New Roman" w:hAnsi="Times New Roman" w:eastAsia="Malgun Gothic" w:cs="Times New Roman"/>
          <w:sz w:val="22"/>
          <w:szCs w:val="22"/>
          <w:lang w:val="en-US" w:eastAsia="zh-CN"/>
        </w:rPr>
        <w:t>-ACK and extension of the repetition transmission of PUCCH before dedicated PUCCH resource configuration.</w:t>
      </w:r>
    </w:p>
    <w:p>
      <w:pPr>
        <w:pStyle w:val="9"/>
        <w:numPr>
          <w:ilvl w:val="0"/>
          <w:numId w:val="0"/>
        </w:numPr>
        <w:spacing w:after="120"/>
        <w:ind w:leftChars="0"/>
        <w:jc w:val="both"/>
        <w:rPr>
          <w:lang w:eastAsia="zh-CN"/>
        </w:rPr>
      </w:pPr>
    </w:p>
    <w:p>
      <w:pPr>
        <w:spacing w:after="120"/>
        <w:jc w:val="both"/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</w:pPr>
      <w:r>
        <w:rPr>
          <w:rFonts w:hint="eastAsia" w:eastAsiaTheme="minorEastAsia"/>
          <w:b/>
          <w:bCs w:val="0"/>
          <w:i w:val="0"/>
          <w:iCs/>
          <w:sz w:val="22"/>
          <w:szCs w:val="22"/>
          <w:lang w:eastAsia="zh-CN"/>
        </w:rPr>
        <w:t>P</w:t>
      </w:r>
      <w:r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  <w:t xml:space="preserve">roposal 1: For repetition of PUCCH </w:t>
      </w:r>
      <w:r>
        <w:rPr>
          <w:rFonts w:hint="eastAsia" w:eastAsiaTheme="minorEastAsia"/>
          <w:b/>
          <w:bCs w:val="0"/>
          <w:i w:val="0"/>
          <w:iCs/>
          <w:sz w:val="22"/>
          <w:szCs w:val="22"/>
          <w:lang w:val="en-US" w:eastAsia="zh-CN"/>
        </w:rPr>
        <w:t>for Msg4 HARQ-ACK and extension of the repetition transmission of PUCCH before dedicated PUCCH resource configuration, FG 44-1 is used to indicate the support of this feature</w:t>
      </w:r>
      <w:r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  <w:t>.</w:t>
      </w:r>
    </w:p>
    <w:p>
      <w:pPr>
        <w:spacing w:after="120"/>
        <w:jc w:val="both"/>
        <w:rPr>
          <w:rFonts w:eastAsiaTheme="minorEastAsia"/>
          <w:i/>
          <w:sz w:val="22"/>
          <w:szCs w:val="22"/>
          <w:lang w:val="en-US" w:eastAsia="en-US"/>
        </w:rPr>
      </w:pPr>
    </w:p>
    <w:p>
      <w:pPr>
        <w:pStyle w:val="3"/>
        <w:bidi w:val="0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 xml:space="preserve">FG 44-2 </w:t>
      </w:r>
    </w:p>
    <w:p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>
      <w:pPr>
        <w:spacing w:after="120"/>
        <w:jc w:val="both"/>
        <w:rPr>
          <w:rFonts w:hint="default" w:eastAsiaTheme="minorEastAsia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FG 44-2 is captured as below.</w:t>
      </w:r>
    </w:p>
    <w:tbl>
      <w:tblPr>
        <w:tblStyle w:val="8"/>
        <w:tblW w:w="22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577"/>
        <w:gridCol w:w="2202"/>
        <w:gridCol w:w="5233"/>
        <w:gridCol w:w="827"/>
        <w:gridCol w:w="527"/>
        <w:gridCol w:w="447"/>
        <w:gridCol w:w="2852"/>
        <w:gridCol w:w="748"/>
        <w:gridCol w:w="517"/>
        <w:gridCol w:w="517"/>
        <w:gridCol w:w="517"/>
        <w:gridCol w:w="4609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ja-JP"/>
              </w:rPr>
              <w:t>44. NR_NTN_enh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44-2</w:t>
            </w:r>
          </w:p>
        </w:tc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zh-CN"/>
              </w:rPr>
            </w:pPr>
            <w:r>
              <w:rPr>
                <w:rFonts w:cs="Times New Roman"/>
              </w:rPr>
              <w:t>NTN DMRS bundling enhancement for PUSCH</w:t>
            </w:r>
          </w:p>
        </w:tc>
        <w:tc>
          <w:tcPr>
            <w:tcW w:w="5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</w:rPr>
            </w:pPr>
            <w:r>
              <w:rPr>
                <w:rFonts w:cs="Times New Roman"/>
              </w:rPr>
              <w:t>1. Support of DM-RS bundling for PUSCH over consecutive slots</w:t>
            </w:r>
          </w:p>
          <w:p>
            <w:pPr>
              <w:pStyle w:val="10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2. Support of pre-compensation to keep phase rotation due to timing drift within the phase difference limit</w:t>
            </w:r>
          </w:p>
          <w:p>
            <w:pPr>
              <w:pStyle w:val="10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</w:rPr>
              <w:t>30-4a/b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Yes</w:t>
            </w:r>
          </w:p>
        </w:tc>
        <w:tc>
          <w:tcPr>
            <w:tcW w:w="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No</w:t>
            </w:r>
          </w:p>
        </w:tc>
        <w:tc>
          <w:tcPr>
            <w:tcW w:w="2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val="en-US" w:eastAsia="zh-CN"/>
              </w:rPr>
            </w:pPr>
            <w:r>
              <w:rPr>
                <w:rFonts w:cs="Times New Roman"/>
              </w:rPr>
              <w:t>UE does not support DM-RS bundling enhancement for PUSCH in NTN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Per Band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N/A</w:t>
            </w:r>
          </w:p>
        </w:tc>
        <w:tc>
          <w:tcPr>
            <w:tcW w:w="4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</w:rPr>
            </w:pPr>
            <w:r>
              <w:rPr>
                <w:rFonts w:cs="Times New Roman"/>
              </w:rPr>
              <w:t>Note: This UE feature group is applicable only for bands in Table 5.2.2-1 in TS 38.101-5 [and HAPS operation bands in Clause 5.2 of TS 38.104]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zh-CN"/>
              </w:rPr>
              <w:t>Optional with capability signaling</w:t>
            </w:r>
          </w:p>
        </w:tc>
      </w:tr>
    </w:tbl>
    <w:p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>
      <w:pPr>
        <w:snapToGrid w:val="0"/>
        <w:jc w:val="both"/>
        <w:rPr>
          <w:rFonts w:hint="default" w:eastAsia="等线"/>
          <w:sz w:val="22"/>
          <w:szCs w:val="16"/>
          <w:lang w:val="en-US" w:eastAsia="zh-CN"/>
        </w:rPr>
      </w:pPr>
      <w:r>
        <w:rPr>
          <w:rFonts w:hint="eastAsia" w:eastAsia="等线"/>
          <w:sz w:val="22"/>
          <w:szCs w:val="16"/>
          <w:lang w:val="en-US" w:eastAsia="zh-CN"/>
        </w:rPr>
        <w:t>In RAN1#114, it is agreed that: [3]</w:t>
      </w:r>
    </w:p>
    <w:p>
      <w:pPr>
        <w:snapToGrid w:val="0"/>
        <w:jc w:val="both"/>
        <w:rPr>
          <w:rFonts w:eastAsia="等线"/>
          <w:szCs w:val="16"/>
          <w:lang w:val="en-US"/>
        </w:rPr>
      </w:pPr>
      <w:r>
        <w:rPr>
          <w:rFonts w:eastAsia="等线"/>
          <w:szCs w:val="16"/>
          <w:lang w:val="en-US"/>
        </w:rPr>
        <w:t xml:space="preserve">As </w:t>
      </w:r>
      <w:r>
        <w:rPr>
          <w:rFonts w:hint="eastAsia" w:eastAsia="等线"/>
          <w:szCs w:val="16"/>
          <w:lang w:val="en-US"/>
        </w:rPr>
        <w:t>U</w:t>
      </w:r>
      <w:r>
        <w:rPr>
          <w:rFonts w:eastAsia="等线"/>
          <w:szCs w:val="16"/>
          <w:lang w:val="en-US"/>
        </w:rPr>
        <w:t>E capability report,</w:t>
      </w:r>
      <w:r>
        <w:rPr>
          <w:rFonts w:hint="eastAsia" w:eastAsia="等线"/>
          <w:szCs w:val="16"/>
          <w:lang w:val="en-US" w:eastAsia="zh-CN"/>
        </w:rPr>
        <w:t xml:space="preserve"> U</w:t>
      </w:r>
      <w:r>
        <w:rPr>
          <w:rFonts w:eastAsia="等线"/>
          <w:szCs w:val="16"/>
          <w:lang w:val="en-US"/>
        </w:rPr>
        <w:t>E reports the max TDW size it can support by fulfilling the phase difference limit requirement.</w:t>
      </w:r>
    </w:p>
    <w:p>
      <w:pPr>
        <w:snapToGrid w:val="0"/>
        <w:jc w:val="both"/>
        <w:rPr>
          <w:rFonts w:eastAsia="等线"/>
          <w:szCs w:val="16"/>
          <w:lang w:val="en-US"/>
        </w:rPr>
      </w:pPr>
    </w:p>
    <w:p>
      <w:pPr>
        <w:snapToGrid w:val="0"/>
        <w:jc w:val="both"/>
        <w:rPr>
          <w:rFonts w:hint="default" w:eastAsia="等线"/>
          <w:szCs w:val="16"/>
          <w:lang w:val="en-US" w:eastAsia="zh-CN"/>
        </w:rPr>
      </w:pPr>
      <w:r>
        <w:rPr>
          <w:rFonts w:hint="eastAsia" w:eastAsia="等线"/>
          <w:szCs w:val="16"/>
          <w:lang w:val="en-US" w:eastAsia="zh-CN"/>
        </w:rPr>
        <w:t>This capability can be indicated by FG 30-4, which is captured as below.</w:t>
      </w:r>
    </w:p>
    <w:p>
      <w:pPr>
        <w:snapToGrid w:val="0"/>
        <w:jc w:val="both"/>
        <w:rPr>
          <w:rFonts w:hint="default" w:eastAsia="等线"/>
          <w:szCs w:val="16"/>
          <w:lang w:val="en-US" w:eastAsia="zh-CN"/>
        </w:rPr>
      </w:pPr>
    </w:p>
    <w:tbl>
      <w:tblPr>
        <w:tblStyle w:val="8"/>
        <w:tblW w:w="16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657"/>
        <w:gridCol w:w="997"/>
        <w:gridCol w:w="1537"/>
        <w:gridCol w:w="1177"/>
        <w:gridCol w:w="2848"/>
        <w:gridCol w:w="897"/>
        <w:gridCol w:w="1297"/>
        <w:gridCol w:w="1297"/>
        <w:gridCol w:w="2208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Features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Index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Feature group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Components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Prerequisite feature groups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i/>
                <w:iCs/>
              </w:rPr>
            </w:pPr>
            <w:r>
              <w:t>Field name in TS 38.331 [2]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i/>
                <w:iCs/>
              </w:rPr>
            </w:pPr>
            <w:r>
              <w:t>Parent IE in TS 38.331 [2]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Need of FDD/TDD differentiation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Need of FR1/FR2 differentiation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Note</w:t>
            </w:r>
          </w:p>
        </w:tc>
        <w:tc>
          <w:tcPr>
            <w:tcW w:w="2176" w:type="dxa"/>
          </w:tcPr>
          <w:p>
            <w:r>
              <w:t>Mandatory/Optional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30. NR_cov_enh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30-4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The maximum duration for DM-RS bundling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The maximum duration during which UE is able to maintain power consistency and phase continuity to support DM-RS bundling for PUSCH/PUCCH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</w:pPr>
            <w:r>
              <w:t>maxDurationDMRS-Bundling-r17</w:t>
            </w:r>
          </w:p>
          <w:p>
            <w:pPr>
              <w:pStyle w:val="10"/>
            </w:pPr>
            <w:r>
              <w:t>{</w:t>
            </w:r>
          </w:p>
          <w:p>
            <w:pPr>
              <w:pStyle w:val="10"/>
            </w:pPr>
            <w:r>
              <w:t>fdd-r17,</w:t>
            </w:r>
          </w:p>
          <w:p>
            <w:pPr>
              <w:pStyle w:val="10"/>
            </w:pPr>
            <w:r>
              <w:t>tdd-r17</w:t>
            </w:r>
          </w:p>
          <w:p>
            <w:pPr>
              <w:pStyle w:val="10"/>
            </w:pPr>
            <w:r>
              <w:t>}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</w:pPr>
            <w:r>
              <w:t>BandNR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N/A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N/A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</w:pPr>
            <w:r>
              <w:t>Candidate values for the maximum duration for FDD are {4, 8, 16, 32}</w:t>
            </w:r>
          </w:p>
          <w:p>
            <w:pPr>
              <w:pStyle w:val="10"/>
            </w:pPr>
            <w:r>
              <w:t>Candidate values for the maximum duration for TDD are {2, 4, 8, 16}</w:t>
            </w:r>
          </w:p>
          <w:p>
            <w:pPr>
              <w:pStyle w:val="10"/>
            </w:pPr>
          </w:p>
          <w:p>
            <w:pPr>
              <w:pStyle w:val="14"/>
            </w:pPr>
            <w:r>
              <w:t>NOTE:</w:t>
            </w:r>
            <w:r>
              <w:rPr>
                <w:lang w:eastAsia="ko-KR"/>
              </w:rPr>
              <w:tab/>
            </w:r>
            <w:r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2176" w:type="dxa"/>
          </w:tcPr>
          <w:p>
            <w:r>
              <w:t>Optional with capability signalling</w:t>
            </w:r>
          </w:p>
        </w:tc>
      </w:tr>
    </w:tbl>
    <w:p>
      <w:pPr>
        <w:snapToGrid w:val="0"/>
        <w:jc w:val="both"/>
        <w:rPr>
          <w:rFonts w:eastAsia="等线"/>
          <w:szCs w:val="16"/>
          <w:lang w:val="en-US"/>
        </w:rPr>
      </w:pPr>
    </w:p>
    <w:p>
      <w:pPr>
        <w:snapToGrid w:val="0"/>
        <w:jc w:val="both"/>
        <w:rPr>
          <w:rFonts w:hint="eastAsia" w:eastAsia="等线"/>
          <w:sz w:val="22"/>
          <w:szCs w:val="16"/>
          <w:lang w:val="en-US" w:eastAsia="zh-CN"/>
        </w:rPr>
      </w:pPr>
    </w:p>
    <w:p>
      <w:pPr>
        <w:snapToGrid w:val="0"/>
        <w:jc w:val="both"/>
        <w:rPr>
          <w:rFonts w:hint="eastAsia" w:eastAsia="等线"/>
          <w:sz w:val="22"/>
          <w:szCs w:val="16"/>
          <w:lang w:val="en-US" w:eastAsia="zh-CN"/>
        </w:rPr>
      </w:pPr>
      <w:r>
        <w:rPr>
          <w:rFonts w:hint="eastAsia" w:eastAsia="等线"/>
          <w:sz w:val="22"/>
          <w:szCs w:val="16"/>
          <w:lang w:val="en-US" w:eastAsia="zh-CN"/>
        </w:rPr>
        <w:t>Basically, we incline to use the legacy framework in Rel-17</w:t>
      </w:r>
      <w:r>
        <w:rPr>
          <w:rFonts w:hint="eastAsia" w:eastAsia="等线"/>
          <w:szCs w:val="16"/>
          <w:lang w:val="en-US" w:eastAsia="zh-CN"/>
        </w:rPr>
        <w:t xml:space="preserve">. No new capability and </w:t>
      </w:r>
      <w:r>
        <w:rPr>
          <w:rFonts w:hint="eastAsia" w:eastAsia="等线"/>
          <w:sz w:val="22"/>
          <w:szCs w:val="16"/>
          <w:lang w:val="en-US" w:eastAsia="zh-CN"/>
        </w:rPr>
        <w:t xml:space="preserve">assistance information are needed. </w:t>
      </w:r>
    </w:p>
    <w:p>
      <w:pPr>
        <w:snapToGrid w:val="0"/>
        <w:jc w:val="both"/>
        <w:rPr>
          <w:rFonts w:hint="eastAsia" w:eastAsia="宋体"/>
          <w:lang w:val="en-US" w:eastAsia="zh-CN"/>
        </w:rPr>
      </w:pPr>
      <w:r>
        <w:rPr>
          <w:rFonts w:hint="eastAsia" w:eastAsia="等线"/>
          <w:szCs w:val="16"/>
          <w:lang w:val="en-US" w:eastAsia="zh-CN"/>
        </w:rPr>
        <w:t>U</w:t>
      </w:r>
      <w:r>
        <w:rPr>
          <w:rFonts w:eastAsia="等线"/>
          <w:szCs w:val="16"/>
          <w:lang w:val="en-US"/>
        </w:rPr>
        <w:t>E reports the max TDW size it can support by fulfilling the phase difference limit requirement.</w:t>
      </w:r>
      <w:r>
        <w:rPr>
          <w:rFonts w:hint="eastAsia" w:eastAsia="等线"/>
          <w:szCs w:val="16"/>
          <w:lang w:val="en-US" w:eastAsia="zh-CN"/>
        </w:rPr>
        <w:t xml:space="preserve"> UE ca</w:t>
      </w:r>
      <w:r>
        <w:rPr>
          <w:rFonts w:hint="eastAsia" w:ascii="Times New Roman" w:hAnsi="Times New Roman" w:eastAsia="等线" w:cs="Times New Roman"/>
          <w:szCs w:val="16"/>
          <w:lang w:val="en-US" w:eastAsia="zh-CN"/>
        </w:rPr>
        <w:t>n do whatever it can do (e.g. phase rotation pre-compensation) to maxi</w:t>
      </w:r>
      <w:r>
        <w:rPr>
          <w:rFonts w:hint="eastAsia" w:eastAsia="等线"/>
          <w:szCs w:val="16"/>
          <w:lang w:val="en-US" w:eastAsia="zh-CN"/>
        </w:rPr>
        <w:t xml:space="preserve">mize its </w:t>
      </w:r>
      <w:r>
        <w:t>maxDurationDMRS-Bundling</w:t>
      </w:r>
      <w:r>
        <w:rPr>
          <w:rFonts w:hint="eastAsia" w:eastAsia="宋体"/>
          <w:lang w:val="en-US" w:eastAsia="zh-CN"/>
        </w:rPr>
        <w:t xml:space="preserve">-r17, or UE can report a reasonable </w:t>
      </w:r>
      <w:r>
        <w:t>maxDurationDMRS-Bundling</w:t>
      </w:r>
      <w:r>
        <w:rPr>
          <w:rFonts w:hint="eastAsia" w:eastAsia="宋体"/>
          <w:lang w:val="en-US" w:eastAsia="zh-CN"/>
        </w:rPr>
        <w:t xml:space="preserve">-r17 to match with its desired implementation (e.g. TX antenna switching, etc.) to improve link quality without introducing new signaling for capability or assistance information. </w:t>
      </w:r>
    </w:p>
    <w:p>
      <w:pPr>
        <w:snapToGrid w:val="0"/>
        <w:jc w:val="both"/>
        <w:rPr>
          <w:rFonts w:hint="default" w:eastAsia="宋体"/>
          <w:lang w:val="en-US" w:eastAsia="zh-CN"/>
        </w:rPr>
      </w:pPr>
    </w:p>
    <w:p>
      <w:pPr>
        <w:spacing w:after="120"/>
        <w:jc w:val="both"/>
        <w:rPr>
          <w:rFonts w:eastAsia="Malgun Gothic"/>
          <w:b/>
          <w:i/>
          <w:sz w:val="22"/>
          <w:szCs w:val="22"/>
          <w:lang w:val="en-US" w:eastAsia="en-US"/>
        </w:rPr>
      </w:pPr>
    </w:p>
    <w:p>
      <w:pPr>
        <w:snapToGrid w:val="0"/>
        <w:jc w:val="both"/>
        <w:rPr>
          <w:rFonts w:hint="default" w:ascii="Times New Roman" w:hAnsi="Times New Roman" w:eastAsia="Malgun Gothic" w:cs="Times New Roman"/>
          <w:b/>
          <w:bCs w:val="0"/>
          <w:i w:val="0"/>
          <w:iCs/>
          <w:sz w:val="22"/>
          <w:szCs w:val="22"/>
          <w:lang w:val="en-US" w:eastAsia="en-US"/>
        </w:rPr>
      </w:pPr>
      <w:r>
        <w:rPr>
          <w:rFonts w:eastAsia="Malgun Gothic"/>
          <w:b/>
          <w:bCs w:val="0"/>
          <w:i w:val="0"/>
          <w:iCs/>
          <w:sz w:val="22"/>
          <w:szCs w:val="22"/>
          <w:lang w:val="en-US" w:eastAsia="en-US"/>
        </w:rPr>
        <w:t xml:space="preserve">Proposal </w:t>
      </w:r>
      <w:r>
        <w:rPr>
          <w:rFonts w:hint="eastAsia" w:eastAsia="宋体"/>
          <w:b/>
          <w:bCs w:val="0"/>
          <w:i w:val="0"/>
          <w:iCs/>
          <w:sz w:val="22"/>
          <w:szCs w:val="22"/>
          <w:lang w:val="en-US" w:eastAsia="zh-CN"/>
        </w:rPr>
        <w:t>2</w:t>
      </w:r>
      <w:r>
        <w:rPr>
          <w:rFonts w:eastAsia="Malgun Gothic"/>
          <w:b/>
          <w:bCs w:val="0"/>
          <w:i w:val="0"/>
          <w:iCs/>
          <w:sz w:val="22"/>
          <w:szCs w:val="22"/>
          <w:lang w:val="en-US" w:eastAsia="en-US"/>
        </w:rPr>
        <w:t xml:space="preserve">: </w:t>
      </w:r>
      <w:r>
        <w:rPr>
          <w:rFonts w:hint="default" w:ascii="Times New Roman" w:hAnsi="Times New Roman" w:eastAsia="Malgun Gothic" w:cs="Times New Roman"/>
          <w:b/>
          <w:bCs w:val="0"/>
          <w:i w:val="0"/>
          <w:iCs/>
          <w:sz w:val="22"/>
          <w:szCs w:val="22"/>
          <w:lang w:val="en-US" w:eastAsia="zh-CN"/>
        </w:rPr>
        <w:t xml:space="preserve">For NTN-specific PUSCH DMRS bundling, </w:t>
      </w:r>
      <w:r>
        <w:rPr>
          <w:rFonts w:hint="eastAsia" w:eastAsia="Malgun Gothic" w:cs="Times New Roman"/>
          <w:b/>
          <w:bCs w:val="0"/>
          <w:i w:val="0"/>
          <w:iCs/>
          <w:sz w:val="22"/>
          <w:szCs w:val="22"/>
          <w:lang w:val="en-US" w:eastAsia="zh-CN"/>
        </w:rPr>
        <w:t>use FG 30-4.</w:t>
      </w:r>
    </w:p>
    <w:p>
      <w:pPr>
        <w:snapToGrid w:val="0"/>
        <w:jc w:val="both"/>
        <w:rPr>
          <w:rFonts w:ascii="Times New Roman" w:hAnsi="Times New Roman" w:eastAsia="Malgun Gothic" w:cs="Times New Roman"/>
          <w:i/>
          <w:sz w:val="22"/>
          <w:szCs w:val="22"/>
          <w:lang w:val="en-US" w:eastAsia="zh-CN"/>
        </w:rPr>
      </w:pPr>
    </w:p>
    <w:p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>
      <w:pPr>
        <w:pStyle w:val="2"/>
        <w:bidi w:val="0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Conclusion</w:t>
      </w:r>
    </w:p>
    <w:p>
      <w:pPr>
        <w:rPr>
          <w:sz w:val="22"/>
        </w:rPr>
      </w:pPr>
      <w:r>
        <w:rPr>
          <w:sz w:val="22"/>
        </w:rPr>
        <w:t>In this contribution, we discuss the</w:t>
      </w:r>
      <w:r>
        <w:rPr>
          <w:sz w:val="22"/>
          <w:lang w:eastAsia="zh-CN"/>
        </w:rPr>
        <w:t xml:space="preserve"> Rel-18 UE features for NR NTN.</w:t>
      </w:r>
      <w:r>
        <w:rPr>
          <w:sz w:val="22"/>
        </w:rPr>
        <w:t xml:space="preserve"> The following proposals are presented:</w:t>
      </w:r>
    </w:p>
    <w:p>
      <w:pPr>
        <w:rPr>
          <w:sz w:val="22"/>
        </w:rPr>
      </w:pPr>
    </w:p>
    <w:p>
      <w:pPr>
        <w:spacing w:after="120"/>
        <w:jc w:val="both"/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</w:pPr>
      <w:bookmarkStart w:id="0" w:name="_Ref124671424"/>
      <w:bookmarkStart w:id="1" w:name="_Ref71620620"/>
      <w:bookmarkStart w:id="2" w:name="_Ref124589665"/>
      <w:r>
        <w:rPr>
          <w:rFonts w:hint="eastAsia" w:eastAsiaTheme="minorEastAsia"/>
          <w:b/>
          <w:bCs w:val="0"/>
          <w:i w:val="0"/>
          <w:iCs/>
          <w:sz w:val="22"/>
          <w:szCs w:val="22"/>
          <w:lang w:eastAsia="zh-CN"/>
        </w:rPr>
        <w:t>P</w:t>
      </w:r>
      <w:r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  <w:t xml:space="preserve">roposal 1: For repetition of PUCCH </w:t>
      </w:r>
      <w:r>
        <w:rPr>
          <w:rFonts w:hint="eastAsia" w:eastAsiaTheme="minorEastAsia"/>
          <w:b/>
          <w:bCs w:val="0"/>
          <w:i w:val="0"/>
          <w:iCs/>
          <w:sz w:val="22"/>
          <w:szCs w:val="22"/>
          <w:lang w:val="en-US" w:eastAsia="zh-CN"/>
        </w:rPr>
        <w:t>for Msg4 HARQ-ACK and extension of the repetition transmission of PUCCH before dedicated PUCCH resource configuration, FG 44-1 is used to indicate the support of this feature</w:t>
      </w:r>
      <w:r>
        <w:rPr>
          <w:rFonts w:eastAsiaTheme="minorEastAsia"/>
          <w:b/>
          <w:bCs w:val="0"/>
          <w:i w:val="0"/>
          <w:iCs/>
          <w:sz w:val="22"/>
          <w:szCs w:val="22"/>
          <w:lang w:eastAsia="zh-CN"/>
        </w:rPr>
        <w:t>.</w:t>
      </w:r>
    </w:p>
    <w:p>
      <w:pPr>
        <w:snapToGrid w:val="0"/>
        <w:jc w:val="both"/>
        <w:rPr>
          <w:rFonts w:hint="default" w:ascii="Times New Roman" w:hAnsi="Times New Roman" w:eastAsia="Malgun Gothic" w:cs="Times New Roman"/>
          <w:b/>
          <w:bCs w:val="0"/>
          <w:i w:val="0"/>
          <w:iCs/>
          <w:sz w:val="22"/>
          <w:szCs w:val="22"/>
          <w:lang w:val="en-US" w:eastAsia="en-US"/>
        </w:rPr>
      </w:pPr>
      <w:r>
        <w:rPr>
          <w:rFonts w:eastAsia="Malgun Gothic"/>
          <w:b/>
          <w:bCs w:val="0"/>
          <w:i w:val="0"/>
          <w:iCs/>
          <w:sz w:val="22"/>
          <w:szCs w:val="22"/>
          <w:lang w:val="en-US" w:eastAsia="en-US"/>
        </w:rPr>
        <w:t xml:space="preserve">Proposal </w:t>
      </w:r>
      <w:r>
        <w:rPr>
          <w:rFonts w:hint="eastAsia" w:eastAsia="宋体"/>
          <w:b/>
          <w:bCs w:val="0"/>
          <w:i w:val="0"/>
          <w:iCs/>
          <w:sz w:val="22"/>
          <w:szCs w:val="22"/>
          <w:lang w:val="en-US" w:eastAsia="zh-CN"/>
        </w:rPr>
        <w:t>2</w:t>
      </w:r>
      <w:r>
        <w:rPr>
          <w:rFonts w:eastAsia="Malgun Gothic"/>
          <w:b/>
          <w:bCs w:val="0"/>
          <w:i w:val="0"/>
          <w:iCs/>
          <w:sz w:val="22"/>
          <w:szCs w:val="22"/>
          <w:lang w:val="en-US" w:eastAsia="en-US"/>
        </w:rPr>
        <w:t xml:space="preserve">: </w:t>
      </w:r>
      <w:r>
        <w:rPr>
          <w:rFonts w:hint="default" w:ascii="Times New Roman" w:hAnsi="Times New Roman" w:eastAsia="Malgun Gothic" w:cs="Times New Roman"/>
          <w:b/>
          <w:bCs w:val="0"/>
          <w:i w:val="0"/>
          <w:iCs/>
          <w:sz w:val="22"/>
          <w:szCs w:val="22"/>
          <w:lang w:val="en-US" w:eastAsia="zh-CN"/>
        </w:rPr>
        <w:t xml:space="preserve">For NTN-specific PUSCH DMRS bundling, </w:t>
      </w:r>
      <w:r>
        <w:rPr>
          <w:rFonts w:hint="eastAsia" w:eastAsia="Malgun Gothic" w:cs="Times New Roman"/>
          <w:b/>
          <w:bCs w:val="0"/>
          <w:i w:val="0"/>
          <w:iCs/>
          <w:sz w:val="22"/>
          <w:szCs w:val="22"/>
          <w:lang w:val="en-US" w:eastAsia="zh-CN"/>
        </w:rPr>
        <w:t>use FG 30-4.</w:t>
      </w:r>
    </w:p>
    <w:p>
      <w:pPr>
        <w:spacing w:after="120"/>
        <w:jc w:val="both"/>
        <w:rPr>
          <w:rFonts w:eastAsia="Malgun Gothic"/>
          <w:b/>
          <w:i/>
          <w:sz w:val="22"/>
          <w:szCs w:val="22"/>
          <w:lang w:val="en-US" w:eastAsia="en-US"/>
        </w:rPr>
      </w:pPr>
    </w:p>
    <w:p>
      <w:pPr>
        <w:spacing w:after="120"/>
        <w:jc w:val="both"/>
        <w:rPr>
          <w:rFonts w:eastAsia="Malgun Gothic"/>
          <w:b/>
          <w:i/>
          <w:sz w:val="22"/>
          <w:szCs w:val="22"/>
          <w:lang w:val="en-US" w:eastAsia="en-US"/>
        </w:rPr>
      </w:pPr>
    </w:p>
    <w:p>
      <w:pPr>
        <w:pStyle w:val="2"/>
        <w:bidi w:val="0"/>
        <w:rPr>
          <w:rFonts w:ascii="Times New Roman" w:hAnsi="Times New Roman" w:cs="Times New Roman"/>
          <w:b/>
          <w:lang w:val="en-US" w:eastAsia="ko-KR"/>
        </w:rPr>
      </w:pPr>
      <w:r>
        <w:rPr>
          <w:rFonts w:ascii="Times New Roman" w:hAnsi="Times New Roman" w:cs="Times New Roman"/>
          <w:b/>
          <w:lang w:val="en-US" w:eastAsia="ko-KR"/>
        </w:rPr>
        <w:t>References</w:t>
      </w:r>
    </w:p>
    <w:bookmarkEnd w:id="0"/>
    <w:bookmarkEnd w:id="1"/>
    <w:bookmarkEnd w:id="2"/>
    <w:p>
      <w:pPr>
        <w:pStyle w:val="9"/>
        <w:numPr>
          <w:ilvl w:val="0"/>
          <w:numId w:val="4"/>
        </w:numPr>
        <w:spacing w:after="120"/>
        <w:ind w:leftChars="0"/>
        <w:jc w:val="both"/>
        <w:rPr>
          <w:rFonts w:hint="default"/>
          <w:sz w:val="22"/>
          <w:szCs w:val="22"/>
          <w:highlight w:val="none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R1-2308578 Session_Notes_AI_9-16-5_v03.</w:t>
      </w:r>
      <w:r>
        <w:rPr>
          <w:rFonts w:eastAsia="宋体"/>
          <w:sz w:val="22"/>
          <w:szCs w:val="22"/>
          <w:lang w:val="en-US" w:eastAsia="zh-CN"/>
        </w:rPr>
        <w:t xml:space="preserve"> </w:t>
      </w:r>
    </w:p>
    <w:p>
      <w:pPr>
        <w:pStyle w:val="9"/>
        <w:numPr>
          <w:ilvl w:val="0"/>
          <w:numId w:val="4"/>
        </w:numPr>
        <w:spacing w:after="120"/>
        <w:ind w:leftChars="0"/>
        <w:jc w:val="both"/>
        <w:rPr>
          <w:rFonts w:hint="default"/>
          <w:sz w:val="22"/>
          <w:szCs w:val="22"/>
          <w:highlight w:val="none"/>
          <w:lang w:val="en-US" w:eastAsia="zh-CN"/>
        </w:rPr>
      </w:pPr>
      <w:r>
        <w:rPr>
          <w:rFonts w:hint="default"/>
          <w:sz w:val="22"/>
          <w:szCs w:val="22"/>
          <w:highlight w:val="none"/>
          <w:lang w:val="en-US" w:eastAsia="zh-CN"/>
        </w:rPr>
        <w:t>Highlights from RAN#101</w:t>
      </w:r>
      <w:r>
        <w:rPr>
          <w:rFonts w:hint="eastAsia"/>
          <w:sz w:val="22"/>
          <w:szCs w:val="22"/>
          <w:highlight w:val="none"/>
          <w:lang w:val="en-US" w:eastAsia="zh-CN"/>
        </w:rPr>
        <w:t>, RAN1 Chair</w:t>
      </w:r>
    </w:p>
    <w:p>
      <w:pPr>
        <w:pStyle w:val="9"/>
        <w:numPr>
          <w:ilvl w:val="0"/>
          <w:numId w:val="4"/>
        </w:numPr>
        <w:spacing w:after="120"/>
        <w:ind w:leftChars="0"/>
        <w:jc w:val="both"/>
        <w:rPr>
          <w:rFonts w:hint="default"/>
          <w:sz w:val="22"/>
          <w:szCs w:val="22"/>
          <w:highlight w:val="none"/>
          <w:lang w:val="en-US" w:eastAsia="zh-CN"/>
        </w:rPr>
      </w:pPr>
      <w:r>
        <w:rPr>
          <w:rFonts w:hint="eastAsia"/>
          <w:sz w:val="22"/>
          <w:szCs w:val="22"/>
          <w:highlight w:val="none"/>
          <w:lang w:val="en-US" w:eastAsia="zh-CN"/>
        </w:rPr>
        <w:t>Chair's notes RAN1#114</w:t>
      </w:r>
    </w:p>
    <w:p/>
    <w:sectPr>
      <w:footerReference r:id="rId3" w:type="default"/>
      <w:pgSz w:w="23808" w:h="16840" w:orient="landscape"/>
      <w:pgMar w:top="1134" w:right="851" w:bottom="1134" w:left="567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2"/>
      </w:rPr>
    </w:pPr>
    <w:r>
      <w:rPr>
        <w:rStyle w:val="7"/>
        <w:rFonts w:eastAsia="MS Gothic"/>
      </w:rPr>
      <w:t xml:space="preserve">- </w:t>
    </w:r>
    <w:r>
      <w:rPr>
        <w:rStyle w:val="7"/>
        <w:rFonts w:eastAsia="MS Gothic"/>
      </w:rPr>
      <w:fldChar w:fldCharType="begin"/>
    </w:r>
    <w:r>
      <w:rPr>
        <w:rStyle w:val="7"/>
        <w:rFonts w:eastAsia="MS Gothic"/>
      </w:rPr>
      <w:instrText xml:space="preserve"> PAGE </w:instrText>
    </w:r>
    <w:r>
      <w:rPr>
        <w:rStyle w:val="7"/>
        <w:rFonts w:eastAsia="MS Gothic"/>
      </w:rPr>
      <w:fldChar w:fldCharType="separate"/>
    </w:r>
    <w:r>
      <w:rPr>
        <w:rStyle w:val="7"/>
        <w:rFonts w:eastAsia="MS Gothic"/>
      </w:rPr>
      <w:t>2</w:t>
    </w:r>
    <w:r>
      <w:rPr>
        <w:rStyle w:val="7"/>
        <w:rFonts w:eastAsia="MS Gothic"/>
      </w:rPr>
      <w:fldChar w:fldCharType="end"/>
    </w:r>
    <w:r>
      <w:rPr>
        <w:rStyle w:val="7"/>
        <w:rFonts w:eastAsia="MS Gothic"/>
      </w:rPr>
      <w:t>/</w:t>
    </w:r>
    <w:r>
      <w:rPr>
        <w:rStyle w:val="7"/>
        <w:rFonts w:eastAsia="MS Gothic"/>
      </w:rPr>
      <w:fldChar w:fldCharType="begin"/>
    </w:r>
    <w:r>
      <w:rPr>
        <w:rStyle w:val="7"/>
        <w:rFonts w:eastAsia="MS Gothic"/>
      </w:rPr>
      <w:instrText xml:space="preserve"> NUMPAGES </w:instrText>
    </w:r>
    <w:r>
      <w:rPr>
        <w:rStyle w:val="7"/>
        <w:rFonts w:eastAsia="MS Gothic"/>
      </w:rPr>
      <w:fldChar w:fldCharType="separate"/>
    </w:r>
    <w:r>
      <w:rPr>
        <w:rStyle w:val="7"/>
        <w:rFonts w:eastAsia="MS Gothic"/>
      </w:rPr>
      <w:t>4</w:t>
    </w:r>
    <w:r>
      <w:rPr>
        <w:rStyle w:val="7"/>
        <w:rFonts w:eastAsia="MS Gothic"/>
      </w:rPr>
      <w:fldChar w:fldCharType="end"/>
    </w:r>
    <w:r>
      <w:rPr>
        <w:rStyle w:val="7"/>
        <w:rFonts w:eastAsia="MS Gothic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763C7"/>
    <w:multiLevelType w:val="multilevel"/>
    <w:tmpl w:val="1C6763C7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CE5DF3"/>
    <w:multiLevelType w:val="multilevel"/>
    <w:tmpl w:val="39CE5DF3"/>
    <w:lvl w:ilvl="0" w:tentative="0">
      <w:start w:val="1"/>
      <w:numFmt w:val="decimal"/>
      <w:pStyle w:val="12"/>
      <w:lvlText w:val="%1."/>
      <w:lvlJc w:val="left"/>
      <w:pPr>
        <w:ind w:left="420" w:hanging="420"/>
      </w:pPr>
    </w:lvl>
    <w:lvl w:ilvl="1" w:tentative="0">
      <w:start w:val="1"/>
      <w:numFmt w:val="aiueoFullWidth"/>
      <w:lvlText w:val="(%2)"/>
      <w:lvlJc w:val="left"/>
      <w:pPr>
        <w:ind w:left="840" w:hanging="420"/>
      </w:pPr>
    </w:lvl>
    <w:lvl w:ilvl="2" w:tentative="0">
      <w:start w:val="1"/>
      <w:numFmt w:val="decimalEnclosedCircle"/>
      <w:lvlText w:val="%3"/>
      <w:lvlJc w:val="lef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aiueoFullWidth"/>
      <w:lvlText w:val="(%5)"/>
      <w:lvlJc w:val="left"/>
      <w:pPr>
        <w:ind w:left="2100" w:hanging="420"/>
      </w:pPr>
    </w:lvl>
    <w:lvl w:ilvl="5" w:tentative="0">
      <w:start w:val="1"/>
      <w:numFmt w:val="decimalEnclosedCircle"/>
      <w:lvlText w:val="%6"/>
      <w:lvlJc w:val="lef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aiueoFullWidth"/>
      <w:lvlText w:val="(%8)"/>
      <w:lvlJc w:val="left"/>
      <w:pPr>
        <w:ind w:left="3360" w:hanging="420"/>
      </w:pPr>
    </w:lvl>
    <w:lvl w:ilvl="8" w:tentative="0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3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3">
    <w:nsid w:val="5F29747A"/>
    <w:multiLevelType w:val="multilevel"/>
    <w:tmpl w:val="5F29747A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MmFjMDliNGI3MjQ1MmIxNzJmZTRiNzkxOGUxODgifQ=="/>
  </w:docVars>
  <w:rsids>
    <w:rsidRoot w:val="00000000"/>
    <w:rsid w:val="00C34DAD"/>
    <w:rsid w:val="04A0472E"/>
    <w:rsid w:val="04F512AE"/>
    <w:rsid w:val="05B675BE"/>
    <w:rsid w:val="091D6B51"/>
    <w:rsid w:val="09412CBE"/>
    <w:rsid w:val="0949306B"/>
    <w:rsid w:val="0AFA38B2"/>
    <w:rsid w:val="0C4B49F2"/>
    <w:rsid w:val="10CC4C1B"/>
    <w:rsid w:val="12F1299F"/>
    <w:rsid w:val="13B668C6"/>
    <w:rsid w:val="15147FB2"/>
    <w:rsid w:val="18E07D76"/>
    <w:rsid w:val="193E4B06"/>
    <w:rsid w:val="1ADF413A"/>
    <w:rsid w:val="1E5C1522"/>
    <w:rsid w:val="223245CE"/>
    <w:rsid w:val="282074C9"/>
    <w:rsid w:val="2AB94CE6"/>
    <w:rsid w:val="2ABA39C7"/>
    <w:rsid w:val="30C45E54"/>
    <w:rsid w:val="31EC4C8B"/>
    <w:rsid w:val="35451BCD"/>
    <w:rsid w:val="37322871"/>
    <w:rsid w:val="3CD90F2C"/>
    <w:rsid w:val="3D4B5359"/>
    <w:rsid w:val="3F04232A"/>
    <w:rsid w:val="405C39B3"/>
    <w:rsid w:val="43002870"/>
    <w:rsid w:val="43BC455A"/>
    <w:rsid w:val="45942A94"/>
    <w:rsid w:val="48997BDB"/>
    <w:rsid w:val="4A8D2DDB"/>
    <w:rsid w:val="4D6B7696"/>
    <w:rsid w:val="572C57E6"/>
    <w:rsid w:val="58C30CB5"/>
    <w:rsid w:val="5909000E"/>
    <w:rsid w:val="5984351F"/>
    <w:rsid w:val="5F4E5B17"/>
    <w:rsid w:val="62E73159"/>
    <w:rsid w:val="66032DD3"/>
    <w:rsid w:val="67BC333A"/>
    <w:rsid w:val="69390C8F"/>
    <w:rsid w:val="701A49CC"/>
    <w:rsid w:val="72020DF7"/>
    <w:rsid w:val="720C2BDC"/>
    <w:rsid w:val="72651E57"/>
    <w:rsid w:val="75E83018"/>
    <w:rsid w:val="77CF3869"/>
    <w:rsid w:val="7FAA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360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beforeLines="0" w:beforeAutospacing="0" w:after="100" w:afterLines="0" w:afterAutospacing="0" w:line="240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7">
    <w:name w:val="page number"/>
    <w:qFormat/>
    <w:uiPriority w:val="0"/>
    <w:rPr>
      <w:rFonts w:eastAsia="Times New Roman"/>
      <w:kern w:val="2"/>
      <w:sz w:val="21"/>
      <w:lang w:val="en-GB"/>
    </w:rPr>
  </w:style>
  <w:style w:type="paragraph" w:styleId="9">
    <w:name w:val="List Paragraph"/>
    <w:basedOn w:val="1"/>
    <w:qFormat/>
    <w:uiPriority w:val="34"/>
    <w:pPr>
      <w:ind w:left="840" w:leftChars="400"/>
    </w:pPr>
  </w:style>
  <w:style w:type="paragraph" w:customStyle="1" w:styleId="10">
    <w:name w:val="TAL"/>
    <w:basedOn w:val="1"/>
    <w:qFormat/>
    <w:uiPriority w:val="0"/>
    <w:pPr>
      <w:keepNext/>
      <w:keepLines/>
    </w:pPr>
    <w:rPr>
      <w:rFonts w:ascii="Arial" w:hAnsi="Arial" w:eastAsiaTheme="minorEastAsia"/>
      <w:sz w:val="18"/>
      <w:lang w:eastAsia="en-US"/>
    </w:rPr>
  </w:style>
  <w:style w:type="paragraph" w:customStyle="1" w:styleId="11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 w:val="20"/>
      <w:lang w:eastAsia="ko-KR"/>
    </w:rPr>
  </w:style>
  <w:style w:type="paragraph" w:customStyle="1" w:styleId="12">
    <w:name w:val="Proposal"/>
    <w:basedOn w:val="4"/>
    <w:qFormat/>
    <w:uiPriority w:val="0"/>
    <w:pPr>
      <w:numPr>
        <w:ilvl w:val="0"/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hAnsi="Arial" w:eastAsia="Calibri" w:cs="Arial"/>
      <w:b/>
      <w:bCs/>
      <w:sz w:val="22"/>
      <w:szCs w:val="22"/>
      <w:lang w:eastAsia="zh-CN"/>
    </w:rPr>
  </w:style>
  <w:style w:type="paragraph" w:customStyle="1" w:styleId="13">
    <w:name w:val="References"/>
    <w:basedOn w:val="1"/>
    <w:qFormat/>
    <w:uiPriority w:val="0"/>
    <w:pPr>
      <w:widowControl/>
      <w:numPr>
        <w:ilvl w:val="0"/>
        <w:numId w:val="2"/>
      </w:numPr>
      <w:adjustRightInd/>
      <w:spacing w:after="0"/>
    </w:pPr>
    <w:rPr>
      <w:sz w:val="16"/>
      <w:szCs w:val="16"/>
    </w:rPr>
  </w:style>
  <w:style w:type="paragraph" w:customStyle="1" w:styleId="14">
    <w:name w:val="TAN"/>
    <w:basedOn w:val="10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2023-09-26T06:19:00Z</dcterms:created>
  <dc:creator>DeepThink</dc:creator>
  <cp:lastModifiedBy>yunxiang</cp:lastModifiedBy>
  <dcterms:modified xsi:type="dcterms:W3CDTF">2023-09-28T06:30:10Z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7B796089EBD44FF48A5522DBC86E1FCC_12</vt:lpwstr>
  </property>
</Properties>
</file>